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1A717" w14:textId="54832F62" w:rsidR="00B845C2" w:rsidRDefault="00B845C2" w:rsidP="00B845C2">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w:t>
      </w:r>
      <w:r w:rsidR="004322C5">
        <w:rPr>
          <w:rFonts w:cs="Arial"/>
          <w:b/>
          <w:bCs/>
          <w:sz w:val="24"/>
          <w:szCs w:val="24"/>
        </w:rPr>
        <w:t>bis</w:t>
      </w:r>
      <w:r>
        <w:rPr>
          <w:rFonts w:cs="Arial"/>
          <w:b/>
          <w:bCs/>
          <w:sz w:val="24"/>
          <w:szCs w:val="24"/>
        </w:rPr>
        <w:t>-e</w:t>
      </w:r>
      <w:r>
        <w:rPr>
          <w:b/>
          <w:i/>
          <w:noProof/>
          <w:sz w:val="28"/>
        </w:rPr>
        <w:tab/>
      </w:r>
      <w:r w:rsidR="001669D5">
        <w:rPr>
          <w:b/>
          <w:i/>
          <w:noProof/>
          <w:sz w:val="28"/>
        </w:rPr>
        <w:t>R3-225826</w:t>
      </w:r>
    </w:p>
    <w:p w14:paraId="37992F91" w14:textId="3C8167EC" w:rsidR="006D06DD" w:rsidRPr="006C7A9C" w:rsidRDefault="00B845C2" w:rsidP="1560FB07">
      <w:pPr>
        <w:pStyle w:val="CRCoverPage"/>
        <w:outlineLvl w:val="0"/>
        <w:rPr>
          <w:b/>
          <w:noProof/>
          <w:sz w:val="24"/>
        </w:rPr>
      </w:pPr>
      <w:r w:rsidRPr="009055C0">
        <w:rPr>
          <w:rFonts w:cs="Arial"/>
          <w:b/>
          <w:bCs/>
          <w:sz w:val="24"/>
          <w:szCs w:val="24"/>
        </w:rPr>
        <w:t>E-meeting, 1</w:t>
      </w:r>
      <w:r w:rsidR="004322C5">
        <w:rPr>
          <w:rFonts w:cs="Arial"/>
          <w:b/>
          <w:bCs/>
          <w:sz w:val="24"/>
          <w:szCs w:val="24"/>
        </w:rPr>
        <w:t>0</w:t>
      </w:r>
      <w:r w:rsidRPr="009055C0">
        <w:rPr>
          <w:rFonts w:cs="Arial"/>
          <w:b/>
          <w:bCs/>
          <w:sz w:val="24"/>
          <w:szCs w:val="24"/>
        </w:rPr>
        <w:t xml:space="preserve"> – </w:t>
      </w:r>
      <w:r w:rsidR="004322C5">
        <w:rPr>
          <w:rFonts w:cs="Arial"/>
          <w:b/>
          <w:bCs/>
          <w:sz w:val="24"/>
          <w:szCs w:val="24"/>
        </w:rPr>
        <w:t>18</w:t>
      </w:r>
      <w:r w:rsidRPr="009055C0">
        <w:rPr>
          <w:rFonts w:cs="Arial"/>
          <w:b/>
          <w:bCs/>
          <w:sz w:val="24"/>
          <w:szCs w:val="24"/>
        </w:rPr>
        <w:t xml:space="preserve"> August 2022</w:t>
      </w:r>
      <w:r w:rsidR="00AF6A64">
        <w:rPr>
          <w:i/>
          <w:lang w:eastAsia="ko-KR"/>
        </w:rPr>
        <w:tab/>
      </w:r>
      <w:r w:rsidR="00AF6A64">
        <w:rPr>
          <w:i/>
          <w:lang w:eastAsia="ko-KR"/>
        </w:rPr>
        <w:tab/>
      </w:r>
      <w:r w:rsidR="00AF6A64">
        <w:rPr>
          <w:i/>
          <w:lang w:eastAsia="ko-KR"/>
        </w:rPr>
        <w:tab/>
      </w:r>
      <w:r w:rsidR="00AF6A64"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p>
    <w:p w14:paraId="0AC2AF89" w14:textId="77777777" w:rsidR="006961AD" w:rsidRPr="00B9091D" w:rsidRDefault="006961AD" w:rsidP="006961AD">
      <w:pPr>
        <w:pStyle w:val="a0"/>
        <w:rPr>
          <w:bCs/>
          <w:noProof w:val="0"/>
          <w:sz w:val="24"/>
          <w:lang w:eastAsia="ja-JP"/>
        </w:rPr>
      </w:pPr>
    </w:p>
    <w:p w14:paraId="69D4D6C9" w14:textId="1990C32B"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C6775C">
        <w:rPr>
          <w:rFonts w:eastAsia="宋体" w:cs="Arial"/>
          <w:b/>
          <w:bCs/>
          <w:sz w:val="24"/>
          <w:lang w:val="en-US"/>
        </w:rPr>
        <w:t>23.2</w:t>
      </w:r>
    </w:p>
    <w:p w14:paraId="2540C9D1" w14:textId="2685B5B3"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6C7A9C">
        <w:rPr>
          <w:rFonts w:ascii="Arial" w:hAnsi="Arial" w:cs="Arial"/>
          <w:b/>
          <w:bCs/>
          <w:sz w:val="24"/>
        </w:rPr>
        <w:t>ZTE</w:t>
      </w:r>
    </w:p>
    <w:p w14:paraId="418B26E0" w14:textId="083C54F3"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F42728">
        <w:rPr>
          <w:rFonts w:ascii="Arial" w:hAnsi="Arial" w:cs="Arial"/>
          <w:b/>
          <w:bCs/>
          <w:sz w:val="24"/>
        </w:rPr>
        <w:t xml:space="preserve">Discussion on </w:t>
      </w:r>
      <w:r w:rsidR="009B478C">
        <w:rPr>
          <w:rFonts w:ascii="Arial" w:hAnsi="Arial" w:cs="Arial"/>
          <w:b/>
          <w:bCs/>
          <w:sz w:val="24"/>
        </w:rPr>
        <w:t>sidelink positioning</w:t>
      </w:r>
      <w:r w:rsidR="00BE6EA8">
        <w:rPr>
          <w:rFonts w:ascii="Arial" w:hAnsi="Arial" w:cs="Arial"/>
          <w:b/>
          <w:bCs/>
          <w:sz w:val="24"/>
        </w:rPr>
        <w:t xml:space="preserve"> configuration</w:t>
      </w:r>
      <w:bookmarkStart w:id="0" w:name="_GoBack"/>
      <w:bookmarkEnd w:id="0"/>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1"/>
        <w:rPr>
          <w:lang w:val="en-US"/>
        </w:rPr>
      </w:pPr>
      <w:r w:rsidRPr="0064252A">
        <w:rPr>
          <w:lang w:val="en-US"/>
        </w:rPr>
        <w:t>Introduction</w:t>
      </w:r>
    </w:p>
    <w:p w14:paraId="312ECE36" w14:textId="77777777" w:rsidR="009C3CF9" w:rsidRDefault="009C3CF9" w:rsidP="009C3CF9">
      <w:pPr>
        <w:snapToGrid w:val="0"/>
        <w:spacing w:beforeLines="50" w:before="120" w:afterLines="50" w:after="120"/>
        <w:rPr>
          <w:bCs/>
        </w:rPr>
      </w:pPr>
      <w:r>
        <w:rPr>
          <w:bCs/>
        </w:rPr>
        <w:t>The SID [1] of sidelink positioning is achieved as follows:</w:t>
      </w:r>
    </w:p>
    <w:tbl>
      <w:tblPr>
        <w:tblStyle w:val="af5"/>
        <w:tblW w:w="0" w:type="auto"/>
        <w:tblLook w:val="04A0" w:firstRow="1" w:lastRow="0" w:firstColumn="1" w:lastColumn="0" w:noHBand="0" w:noVBand="1"/>
      </w:tblPr>
      <w:tblGrid>
        <w:gridCol w:w="9016"/>
      </w:tblGrid>
      <w:tr w:rsidR="009C3CF9" w14:paraId="03146D93" w14:textId="77777777" w:rsidTr="007718A1">
        <w:tc>
          <w:tcPr>
            <w:tcW w:w="9016" w:type="dxa"/>
          </w:tcPr>
          <w:p w14:paraId="6BA9BB3E" w14:textId="77777777" w:rsidR="009C3CF9" w:rsidRDefault="009C3CF9" w:rsidP="009C3CF9">
            <w:pPr>
              <w:numPr>
                <w:ilvl w:val="0"/>
                <w:numId w:val="41"/>
              </w:numPr>
              <w:snapToGrid w:val="0"/>
              <w:spacing w:beforeLines="50" w:before="120" w:afterLines="50" w:after="120"/>
              <w:rPr>
                <w:bCs/>
                <w:lang w:eastAsia="zh-CN"/>
              </w:rPr>
            </w:pPr>
            <w:r>
              <w:rPr>
                <w:bCs/>
              </w:rPr>
              <w:t xml:space="preserve">Study solutions for sidelink positioning considering the following: [RAN1, RAN2] </w:t>
            </w:r>
          </w:p>
          <w:p w14:paraId="69811A41" w14:textId="77777777" w:rsidR="009C3CF9" w:rsidRDefault="009C3CF9" w:rsidP="009C3CF9">
            <w:pPr>
              <w:numPr>
                <w:ilvl w:val="0"/>
                <w:numId w:val="41"/>
              </w:numPr>
              <w:snapToGrid w:val="0"/>
              <w:spacing w:beforeLines="50" w:before="120" w:afterLines="50" w:after="120"/>
              <w:ind w:left="1080"/>
              <w:rPr>
                <w:bCs/>
              </w:rPr>
            </w:pPr>
            <w:r>
              <w:rPr>
                <w:bCs/>
              </w:rPr>
              <w:t xml:space="preserve">Scenario/requirements </w:t>
            </w:r>
          </w:p>
          <w:p w14:paraId="18D91CA3" w14:textId="77777777" w:rsidR="009C3CF9" w:rsidRDefault="009C3CF9" w:rsidP="009C3CF9">
            <w:pPr>
              <w:numPr>
                <w:ilvl w:val="1"/>
                <w:numId w:val="41"/>
              </w:numPr>
              <w:snapToGrid w:val="0"/>
              <w:spacing w:beforeLines="50" w:before="120" w:afterLines="50" w:after="120"/>
              <w:rPr>
                <w:bCs/>
              </w:rPr>
            </w:pPr>
            <w:r>
              <w:rPr>
                <w:bCs/>
              </w:rPr>
              <w:t>Coverage scenarios to cover: in-coverage, partial-coverage and out-of-coverage</w:t>
            </w:r>
          </w:p>
          <w:p w14:paraId="5C2C57B4" w14:textId="77777777" w:rsidR="009C3CF9" w:rsidRDefault="009C3CF9" w:rsidP="009C3CF9">
            <w:pPr>
              <w:numPr>
                <w:ilvl w:val="1"/>
                <w:numId w:val="41"/>
              </w:numPr>
              <w:snapToGrid w:val="0"/>
              <w:spacing w:beforeLines="50" w:before="120" w:afterLines="50" w:after="120"/>
              <w:rPr>
                <w:bCs/>
              </w:rPr>
            </w:pPr>
            <w:r>
              <w:rPr>
                <w:bCs/>
              </w:rPr>
              <w:t>Requirements: Based on requirements identified in TR38.845 and TS22.261 and TS22.104</w:t>
            </w:r>
          </w:p>
          <w:p w14:paraId="2C2D80F7" w14:textId="77777777" w:rsidR="009C3CF9" w:rsidRDefault="009C3CF9" w:rsidP="009C3CF9">
            <w:pPr>
              <w:numPr>
                <w:ilvl w:val="1"/>
                <w:numId w:val="41"/>
              </w:numPr>
              <w:snapToGrid w:val="0"/>
              <w:spacing w:beforeLines="50" w:before="120" w:afterLines="50" w:after="120"/>
              <w:rPr>
                <w:bCs/>
              </w:rPr>
            </w:pPr>
            <w:r>
              <w:rPr>
                <w:bCs/>
              </w:rPr>
              <w:t>Use cases: V2X (TR38.845), public safety (TR38.845), commercial (TS22.261), IIOT (TS22.104)</w:t>
            </w:r>
          </w:p>
          <w:p w14:paraId="68B93EC6" w14:textId="77777777" w:rsidR="009C3CF9" w:rsidRDefault="009C3CF9" w:rsidP="009C3CF9">
            <w:pPr>
              <w:numPr>
                <w:ilvl w:val="1"/>
                <w:numId w:val="41"/>
              </w:numPr>
              <w:snapToGrid w:val="0"/>
              <w:spacing w:beforeLines="50" w:before="120" w:afterLines="50" w:after="120"/>
              <w:rPr>
                <w:bCs/>
              </w:rPr>
            </w:pPr>
            <w:r>
              <w:rPr>
                <w:bCs/>
              </w:rPr>
              <w:t>Spectrum: ITS, licensed</w:t>
            </w:r>
          </w:p>
          <w:p w14:paraId="25AA10DE" w14:textId="77777777" w:rsidR="009C3CF9" w:rsidRDefault="009C3CF9" w:rsidP="009C3CF9">
            <w:pPr>
              <w:numPr>
                <w:ilvl w:val="0"/>
                <w:numId w:val="41"/>
              </w:numPr>
              <w:snapToGrid w:val="0"/>
              <w:spacing w:beforeLines="50" w:before="120" w:afterLines="50" w:after="120"/>
              <w:ind w:left="1080"/>
              <w:rPr>
                <w:bCs/>
              </w:rPr>
            </w:pPr>
            <w:r>
              <w:rPr>
                <w:bCs/>
              </w:rPr>
              <w:t>Identify specific target performance requirements to be considered for the evaluation based on existing 3GPP work and inputs from industry forums [RAN1]</w:t>
            </w:r>
          </w:p>
          <w:p w14:paraId="0855CD73" w14:textId="77777777" w:rsidR="009C3CF9" w:rsidRDefault="009C3CF9" w:rsidP="009C3CF9">
            <w:pPr>
              <w:numPr>
                <w:ilvl w:val="0"/>
                <w:numId w:val="41"/>
              </w:numPr>
              <w:snapToGrid w:val="0"/>
              <w:spacing w:beforeLines="50" w:before="120" w:afterLines="50" w:after="120"/>
              <w:ind w:left="1080"/>
              <w:rPr>
                <w:bCs/>
              </w:rPr>
            </w:pPr>
            <w:r>
              <w:rPr>
                <w:bCs/>
              </w:rPr>
              <w:t xml:space="preserve">Define evaluation methodology with which to evaluate SL positioning for the uses cases and coverage scenarios, reusing existing methodologies from sidelink communication and from positioning as much as possible [RAN1]. </w:t>
            </w:r>
          </w:p>
          <w:p w14:paraId="5EB75C1D" w14:textId="77777777" w:rsidR="009C3CF9" w:rsidRDefault="009C3CF9" w:rsidP="009C3CF9">
            <w:pPr>
              <w:numPr>
                <w:ilvl w:val="0"/>
                <w:numId w:val="41"/>
              </w:numPr>
              <w:snapToGrid w:val="0"/>
              <w:spacing w:beforeLines="50" w:before="120" w:afterLines="50" w:after="120"/>
              <w:ind w:left="1080"/>
              <w:rPr>
                <w:bCs/>
              </w:rPr>
            </w:pPr>
            <w:r>
              <w:rPr>
                <w:bCs/>
              </w:rPr>
              <w:t>Study and evaluate performance and feasibility of potential solutions for SL positioning, considering relative positioning, ranging and absolute positioning: [RAN1, RAN2]</w:t>
            </w:r>
          </w:p>
          <w:p w14:paraId="3B55AC3D" w14:textId="77777777" w:rsidR="009C3CF9" w:rsidRDefault="009C3CF9" w:rsidP="009C3CF9">
            <w:pPr>
              <w:numPr>
                <w:ilvl w:val="1"/>
                <w:numId w:val="41"/>
              </w:numPr>
              <w:snapToGrid w:val="0"/>
              <w:spacing w:beforeLines="50" w:before="120" w:afterLines="50" w:after="120"/>
              <w:rPr>
                <w:bCs/>
              </w:rPr>
            </w:pPr>
            <w:r>
              <w:rPr>
                <w:bCs/>
              </w:rPr>
              <w:t>Evaluate bandwidth requirement needed to meet the identified accuracy requirements [RAN1]</w:t>
            </w:r>
          </w:p>
          <w:p w14:paraId="60BD629F" w14:textId="77777777" w:rsidR="009C3CF9" w:rsidRDefault="009C3CF9" w:rsidP="009C3CF9">
            <w:pPr>
              <w:numPr>
                <w:ilvl w:val="1"/>
                <w:numId w:val="41"/>
              </w:numPr>
              <w:snapToGrid w:val="0"/>
              <w:spacing w:beforeLines="50" w:before="120" w:afterLines="50" w:after="120"/>
              <w:rPr>
                <w:bCs/>
              </w:rPr>
            </w:pPr>
            <w:r>
              <w:rPr>
                <w:bCs/>
              </w:rPr>
              <w:t>Study of positioning methods (e.g. TDOA, RTT, AOA/D, etc) including combination of SL positioning measurements with other RAT dependent positioning measurements (e.g. Uu based measurements) [RAN1]</w:t>
            </w:r>
          </w:p>
          <w:p w14:paraId="5C7D4C05" w14:textId="77777777" w:rsidR="009C3CF9" w:rsidRDefault="009C3CF9" w:rsidP="009C3CF9">
            <w:pPr>
              <w:numPr>
                <w:ilvl w:val="1"/>
                <w:numId w:val="41"/>
              </w:numPr>
              <w:snapToGrid w:val="0"/>
              <w:spacing w:beforeLines="50" w:before="120" w:afterLines="50" w:after="120"/>
              <w:rPr>
                <w:bCs/>
              </w:rPr>
            </w:pPr>
            <w:r>
              <w:rPr>
                <w:bC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4DDA48FD" w14:textId="77777777" w:rsidR="009C3CF9" w:rsidRDefault="009C3CF9" w:rsidP="009C3CF9">
            <w:pPr>
              <w:numPr>
                <w:ilvl w:val="1"/>
                <w:numId w:val="41"/>
              </w:numPr>
              <w:snapToGrid w:val="0"/>
              <w:spacing w:beforeLines="50" w:before="120" w:afterLines="50" w:after="120"/>
              <w:rPr>
                <w:bCs/>
              </w:rPr>
            </w:pPr>
            <w:r>
              <w:rPr>
                <w:bCs/>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4A2EDE56" w14:textId="77777777" w:rsidR="009C3CF9" w:rsidRDefault="009C3CF9" w:rsidP="007718A1">
            <w:pPr>
              <w:snapToGrid w:val="0"/>
              <w:spacing w:beforeLines="50" w:before="120" w:afterLines="50" w:after="120"/>
              <w:ind w:left="1080"/>
              <w:rPr>
                <w:bCs/>
              </w:rPr>
            </w:pPr>
            <w:r>
              <w:rPr>
                <w:bC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595E49DE" w14:textId="77777777" w:rsidR="00573A5A" w:rsidRDefault="009C3CF9" w:rsidP="009C3CF9">
      <w:pPr>
        <w:snapToGrid w:val="0"/>
        <w:spacing w:beforeLines="50" w:before="120" w:afterLines="50" w:after="120"/>
        <w:rPr>
          <w:bCs/>
        </w:rPr>
      </w:pPr>
      <w:r>
        <w:rPr>
          <w:lang w:eastAsia="zh-CN"/>
        </w:rPr>
        <w:t xml:space="preserve">It specifies the RAN2’s responsibility is to design </w:t>
      </w:r>
      <w:r>
        <w:rPr>
          <w:bCs/>
        </w:rPr>
        <w:t xml:space="preserve">positioning architecture and signalling procedures (e.g. configuration, measurement reporting, etc.) to enable sidelink positioning covering both UE based and network based positioning [RAN2, including coordination and alignment with RAN3 and SA2 as required]. </w:t>
      </w:r>
    </w:p>
    <w:p w14:paraId="41BC5C32" w14:textId="3B6940BF" w:rsidR="009C3CF9" w:rsidRDefault="009C3CF9" w:rsidP="009C3CF9">
      <w:pPr>
        <w:snapToGrid w:val="0"/>
        <w:spacing w:beforeLines="50" w:before="120" w:afterLines="50" w:after="120"/>
        <w:rPr>
          <w:lang w:eastAsia="zh-CN"/>
        </w:rPr>
      </w:pPr>
      <w:r>
        <w:rPr>
          <w:bCs/>
        </w:rPr>
        <w:t>So in this contribution, we share some</w:t>
      </w:r>
      <w:r w:rsidR="00362609">
        <w:rPr>
          <w:bCs/>
        </w:rPr>
        <w:t xml:space="preserve"> initial</w:t>
      </w:r>
      <w:r>
        <w:rPr>
          <w:bCs/>
        </w:rPr>
        <w:t xml:space="preserve"> views of the overall architecture and signallings of sidelink positioning.</w:t>
      </w:r>
    </w:p>
    <w:p w14:paraId="6E02CF0C" w14:textId="4399FF7C" w:rsidR="00ED71A8" w:rsidRDefault="000D4C15" w:rsidP="00AB79E9">
      <w:pPr>
        <w:pStyle w:val="1"/>
        <w:rPr>
          <w:rFonts w:eastAsia="宋体"/>
          <w:lang w:val="en-US" w:eastAsia="zh-CN"/>
        </w:rPr>
      </w:pPr>
      <w:r>
        <w:rPr>
          <w:rFonts w:eastAsia="宋体"/>
          <w:lang w:val="en-US" w:eastAsia="zh-CN"/>
        </w:rPr>
        <w:lastRenderedPageBreak/>
        <w:t>Discussion</w:t>
      </w:r>
    </w:p>
    <w:p w14:paraId="586169E7" w14:textId="77777777" w:rsidR="00EA6BF4" w:rsidRDefault="00EA6BF4" w:rsidP="00EA6BF4">
      <w:pPr>
        <w:snapToGrid w:val="0"/>
        <w:spacing w:beforeLines="50" w:before="120" w:afterLines="50" w:after="120"/>
        <w:rPr>
          <w:lang w:eastAsia="zh-CN"/>
        </w:rPr>
      </w:pPr>
      <w:r>
        <w:rPr>
          <w:rFonts w:hint="eastAsia"/>
          <w:szCs w:val="21"/>
          <w:lang w:eastAsia="zh-CN"/>
        </w:rPr>
        <w:t>RAN1#110[3] meeting has made the following agreement:</w:t>
      </w:r>
    </w:p>
    <w:tbl>
      <w:tblPr>
        <w:tblStyle w:val="af5"/>
        <w:tblW w:w="0" w:type="auto"/>
        <w:tblLook w:val="04A0" w:firstRow="1" w:lastRow="0" w:firstColumn="1" w:lastColumn="0" w:noHBand="0" w:noVBand="1"/>
      </w:tblPr>
      <w:tblGrid>
        <w:gridCol w:w="9242"/>
      </w:tblGrid>
      <w:tr w:rsidR="00EA6BF4" w14:paraId="70607BD2" w14:textId="77777777" w:rsidTr="007718A1">
        <w:trPr>
          <w:trHeight w:val="459"/>
        </w:trPr>
        <w:tc>
          <w:tcPr>
            <w:tcW w:w="9242" w:type="dxa"/>
          </w:tcPr>
          <w:p w14:paraId="2C289F02" w14:textId="77777777" w:rsidR="00EA6BF4" w:rsidRDefault="00EA6BF4" w:rsidP="007718A1">
            <w:pPr>
              <w:snapToGrid w:val="0"/>
              <w:spacing w:beforeLines="50" w:before="120" w:afterLines="50" w:after="120"/>
            </w:pPr>
            <w:r>
              <w:t>Agreement</w:t>
            </w:r>
          </w:p>
          <w:p w14:paraId="2D68CC45" w14:textId="77777777" w:rsidR="00EA6BF4" w:rsidRDefault="00EA6BF4" w:rsidP="007718A1">
            <w:pPr>
              <w:pStyle w:val="Proposal"/>
              <w:overflowPunct/>
              <w:autoSpaceDE/>
              <w:snapToGrid w:val="0"/>
              <w:spacing w:beforeLines="50" w:before="120" w:afterLines="50" w:line="240" w:lineRule="auto"/>
              <w:ind w:left="0" w:firstLine="0"/>
              <w:rPr>
                <w:rFonts w:ascii="Times New Roman" w:hAnsi="Times New Roman"/>
                <w:b w:val="0"/>
                <w:bCs w:val="0"/>
              </w:rPr>
            </w:pPr>
            <w:r>
              <w:rPr>
                <w:rFonts w:ascii="Times New Roman" w:hAnsi="Times New Roman"/>
                <w:b w:val="0"/>
                <w:bCs w:val="0"/>
              </w:rPr>
              <w:t>Regarding SL-PRS resource allocation, both Scheme 1 and Scheme 2 should be introduced for supporting SL positioning/ranging:</w:t>
            </w:r>
          </w:p>
          <w:p w14:paraId="287143EA" w14:textId="77777777" w:rsidR="00EA6BF4" w:rsidRDefault="00EA6BF4" w:rsidP="00EA6BF4">
            <w:pPr>
              <w:widowControl w:val="0"/>
              <w:numPr>
                <w:ilvl w:val="0"/>
                <w:numId w:val="42"/>
              </w:numPr>
              <w:overflowPunct/>
              <w:autoSpaceDE/>
              <w:autoSpaceDN/>
              <w:snapToGrid w:val="0"/>
              <w:spacing w:beforeLines="50" w:before="120" w:afterLines="50" w:after="120"/>
              <w:jc w:val="both"/>
              <w:textAlignment w:val="auto"/>
              <w:rPr>
                <w:lang w:eastAsia="zh-CN"/>
              </w:rPr>
            </w:pPr>
            <w:r>
              <w:rPr>
                <w:lang w:eastAsia="zh-CN"/>
              </w:rPr>
              <w:t>Scheme 1: Network-centric operation SL-PRS resource allocation (e.g. similar to a legacy Mode 1 solution)</w:t>
            </w:r>
          </w:p>
          <w:p w14:paraId="1C47417A" w14:textId="77777777" w:rsidR="00EA6BF4" w:rsidRDefault="00EA6BF4" w:rsidP="00EA6BF4">
            <w:pPr>
              <w:widowControl w:val="0"/>
              <w:numPr>
                <w:ilvl w:val="1"/>
                <w:numId w:val="42"/>
              </w:numPr>
              <w:overflowPunct/>
              <w:autoSpaceDE/>
              <w:autoSpaceDN/>
              <w:snapToGrid w:val="0"/>
              <w:spacing w:beforeLines="50" w:before="120" w:afterLines="50" w:after="120"/>
              <w:jc w:val="both"/>
              <w:textAlignment w:val="auto"/>
              <w:rPr>
                <w:lang w:eastAsia="zh-CN"/>
              </w:rPr>
            </w:pPr>
            <w:r>
              <w:rPr>
                <w:lang w:eastAsia="zh-CN"/>
              </w:rPr>
              <w:t xml:space="preserve">The network (e.g. gNB, LMF, gNB &amp; LMF) allocates resources for SL-PRS. </w:t>
            </w:r>
          </w:p>
          <w:p w14:paraId="74A79426" w14:textId="77777777" w:rsidR="00EA6BF4" w:rsidRDefault="00EA6BF4" w:rsidP="00EA6BF4">
            <w:pPr>
              <w:widowControl w:val="0"/>
              <w:numPr>
                <w:ilvl w:val="0"/>
                <w:numId w:val="42"/>
              </w:numPr>
              <w:overflowPunct/>
              <w:autoSpaceDE/>
              <w:autoSpaceDN/>
              <w:snapToGrid w:val="0"/>
              <w:spacing w:beforeLines="50" w:before="120" w:afterLines="50" w:after="120"/>
              <w:jc w:val="both"/>
              <w:textAlignment w:val="auto"/>
              <w:rPr>
                <w:lang w:eastAsia="zh-CN"/>
              </w:rPr>
            </w:pPr>
            <w:r>
              <w:rPr>
                <w:lang w:eastAsia="zh-CN"/>
              </w:rPr>
              <w:t>Scheme 2: UE autonomous SL-PRS resource allocation (e.g. similar to legacy Mode 2 solution)</w:t>
            </w:r>
          </w:p>
          <w:p w14:paraId="5BEB63CC" w14:textId="77777777" w:rsidR="00EA6BF4" w:rsidRDefault="00EA6BF4" w:rsidP="00EA6BF4">
            <w:pPr>
              <w:widowControl w:val="0"/>
              <w:numPr>
                <w:ilvl w:val="1"/>
                <w:numId w:val="42"/>
              </w:numPr>
              <w:overflowPunct/>
              <w:autoSpaceDE/>
              <w:autoSpaceDN/>
              <w:snapToGrid w:val="0"/>
              <w:spacing w:beforeLines="50" w:before="120" w:afterLines="50" w:after="120"/>
              <w:jc w:val="both"/>
              <w:textAlignment w:val="auto"/>
              <w:rPr>
                <w:lang w:eastAsia="zh-CN"/>
              </w:rPr>
            </w:pPr>
            <w:r>
              <w:rPr>
                <w:lang w:eastAsia="zh-CN"/>
              </w:rPr>
              <w:t>At least one of the UE(s) participating in the sidelink positioning operation allocates resources for SL-PRS</w:t>
            </w:r>
          </w:p>
        </w:tc>
      </w:tr>
    </w:tbl>
    <w:p w14:paraId="407B2B03" w14:textId="77777777" w:rsidR="00EA6BF4" w:rsidRDefault="00EA6BF4" w:rsidP="00EA6BF4">
      <w:pPr>
        <w:snapToGrid w:val="0"/>
        <w:spacing w:beforeLines="50" w:before="120" w:afterLines="50" w:after="120"/>
        <w:rPr>
          <w:lang w:eastAsia="zh-CN"/>
        </w:rPr>
      </w:pPr>
      <w:r>
        <w:rPr>
          <w:rFonts w:hint="eastAsia"/>
          <w:szCs w:val="21"/>
          <w:lang w:eastAsia="zh-CN"/>
        </w:rPr>
        <w:t xml:space="preserve">This agreement specifies the two schemes of SL-PRS configuration transfer. Unlike hybrid &amp; PC5 only positioning, scheme 1 and scheme 2 are respect to both target UE and anchor UEs, since both kinds of UEs will need to transmit SL-PRS according to SL-PRS configuration based on different sidelink positioning method. Scheme 1 is for in/partial UEs to perform mode 1-like solution, i.e., network to allocate and distribute SL-PRS configuration; scheme 2 is for UE to perform mode 2-like autonomous SL-PRS resource allocation, which can be applied to in coverage partial coverage and out of coverage UEs. That is to say, in/partial coverage UEs can adopt scheme 1 or scheme 2, but out of coverage UE can only take scheme 2. In the whole view, in one sidelink positioning session, there may be multiple UEs involved, including target UE and several anchor UEs. Among them, different UEs may adopt different scheme. </w:t>
      </w:r>
    </w:p>
    <w:p w14:paraId="502DF884" w14:textId="77777777" w:rsidR="00EA6BF4" w:rsidRDefault="00EA6BF4" w:rsidP="00EA6BF4">
      <w:pPr>
        <w:snapToGrid w:val="0"/>
        <w:spacing w:beforeLines="50" w:before="120" w:afterLines="50" w:after="120"/>
        <w:rPr>
          <w:lang w:eastAsia="zh-CN"/>
        </w:rPr>
      </w:pPr>
      <w:r>
        <w:rPr>
          <w:rFonts w:hint="eastAsia"/>
          <w:szCs w:val="21"/>
          <w:lang w:eastAsia="zh-CN"/>
        </w:rPr>
        <w:t>For example in figure 2, target UE 1, anchor UE 2 and anchor UE 3 are in a same sidelink positioning session, and they are all in coverage of the NG-RAN node or LMF. In which, target UE 1 and anchor UE 2 can adopt the scheme 1, i,e., target UE 1 and anchor UE 2 can receive SL-PRS configuration allocated by the network; anchor UE 3 can adopt the scheme 2, i.e., anchor UE 2 will not receive SL-PRS configuration from network, sensing before transmitting SL-PRS is needed.</w:t>
      </w:r>
    </w:p>
    <w:p w14:paraId="0EA3C569" w14:textId="77777777" w:rsidR="00EA6BF4" w:rsidRDefault="00EA6BF4" w:rsidP="00EA6BF4">
      <w:pPr>
        <w:snapToGrid w:val="0"/>
        <w:spacing w:beforeLines="50" w:before="120" w:afterLines="50" w:after="120"/>
        <w:jc w:val="center"/>
        <w:rPr>
          <w:lang w:eastAsia="zh-CN"/>
        </w:rPr>
      </w:pPr>
      <w:r>
        <w:rPr>
          <w:rFonts w:hint="eastAsia"/>
          <w:noProof/>
          <w:lang w:eastAsia="zh-CN"/>
        </w:rPr>
        <w:drawing>
          <wp:inline distT="0" distB="0" distL="114300" distR="114300" wp14:anchorId="6EB1C323" wp14:editId="349807D5">
            <wp:extent cx="3209925" cy="2663825"/>
            <wp:effectExtent l="0" t="0" r="9525" b="3175"/>
            <wp:docPr id="3" name="图片 3" descr="mode 1 mode 2 in a se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mode 1 mode 2 in a session"/>
                    <pic:cNvPicPr>
                      <a:picLocks noChangeAspect="1"/>
                    </pic:cNvPicPr>
                  </pic:nvPicPr>
                  <pic:blipFill>
                    <a:blip r:embed="rId12"/>
                    <a:stretch>
                      <a:fillRect/>
                    </a:stretch>
                  </pic:blipFill>
                  <pic:spPr>
                    <a:xfrm>
                      <a:off x="0" y="0"/>
                      <a:ext cx="3209925" cy="2663825"/>
                    </a:xfrm>
                    <a:prstGeom prst="rect">
                      <a:avLst/>
                    </a:prstGeom>
                  </pic:spPr>
                </pic:pic>
              </a:graphicData>
            </a:graphic>
          </wp:inline>
        </w:drawing>
      </w:r>
    </w:p>
    <w:p w14:paraId="3BD8FE5F" w14:textId="77777777" w:rsidR="00EA6BF4" w:rsidRDefault="00EA6BF4" w:rsidP="00EA6BF4">
      <w:pPr>
        <w:snapToGrid w:val="0"/>
        <w:spacing w:beforeLines="50" w:before="120" w:afterLines="50" w:after="120"/>
        <w:jc w:val="center"/>
        <w:rPr>
          <w:lang w:eastAsia="zh-CN"/>
        </w:rPr>
      </w:pPr>
      <w:r>
        <w:rPr>
          <w:rFonts w:hint="eastAsia"/>
          <w:szCs w:val="21"/>
          <w:lang w:eastAsia="zh-CN"/>
        </w:rPr>
        <w:t>Figure 2. Example of in coverage UEs adopting different schemes</w:t>
      </w:r>
    </w:p>
    <w:p w14:paraId="0EA36951" w14:textId="1C4B9787" w:rsidR="00EA6BF4" w:rsidRPr="00BF325A" w:rsidRDefault="00EA6BF4" w:rsidP="00EA6BF4">
      <w:pPr>
        <w:snapToGrid w:val="0"/>
        <w:spacing w:beforeLines="50" w:before="120" w:afterLines="50" w:after="120"/>
        <w:rPr>
          <w:b/>
          <w:bCs/>
          <w:iCs/>
          <w:lang w:eastAsia="zh-CN"/>
        </w:rPr>
      </w:pPr>
      <w:r w:rsidRPr="00BF325A">
        <w:rPr>
          <w:rFonts w:hint="eastAsia"/>
          <w:b/>
          <w:bCs/>
          <w:iCs/>
          <w:szCs w:val="21"/>
          <w:lang w:eastAsia="zh-CN"/>
        </w:rPr>
        <w:t>Observation 1: For in/partial coverage scenario, in one sidelink positioning session, different UEs (including target UE and anchor UEs) may adopt different scheme.</w:t>
      </w:r>
    </w:p>
    <w:p w14:paraId="2E0C03FF" w14:textId="5FF849F6" w:rsidR="00EA6BF4" w:rsidRDefault="00EA6BF4" w:rsidP="00EA6BF4">
      <w:pPr>
        <w:snapToGrid w:val="0"/>
        <w:spacing w:beforeLines="50" w:before="120" w:afterLines="50" w:after="120"/>
        <w:rPr>
          <w:lang w:eastAsia="zh-CN"/>
        </w:rPr>
      </w:pPr>
      <w:r>
        <w:rPr>
          <w:rFonts w:hint="eastAsia"/>
          <w:szCs w:val="21"/>
          <w:lang w:eastAsia="zh-CN"/>
        </w:rPr>
        <w:t>This brings a</w:t>
      </w:r>
      <w:r w:rsidR="00CC7A51">
        <w:rPr>
          <w:szCs w:val="21"/>
          <w:lang w:eastAsia="zh-CN"/>
        </w:rPr>
        <w:t>n</w:t>
      </w:r>
      <w:r>
        <w:rPr>
          <w:rFonts w:hint="eastAsia"/>
          <w:szCs w:val="21"/>
          <w:lang w:eastAsia="zh-CN"/>
        </w:rPr>
        <w:t xml:space="preserve"> issue that how does the in/partial coverage UE know which scheme it should adopt. In Rel-17 sidelink communication, whether the in/partial coverage UE adopts mode 1 resource allocation or mode 2 resource allocation is determined by the serving gNB, i.e., </w:t>
      </w:r>
      <w:r>
        <w:rPr>
          <w:rFonts w:hint="eastAsia"/>
          <w:i/>
          <w:iCs/>
          <w:szCs w:val="21"/>
          <w:lang w:eastAsia="zh-CN"/>
        </w:rPr>
        <w:t xml:space="preserve">sl-ScheduledConfig-r16 </w:t>
      </w:r>
      <w:r>
        <w:rPr>
          <w:rFonts w:hint="eastAsia"/>
          <w:szCs w:val="21"/>
          <w:lang w:eastAsia="zh-CN"/>
        </w:rPr>
        <w:t xml:space="preserve">and </w:t>
      </w:r>
      <w:r>
        <w:rPr>
          <w:rFonts w:hint="eastAsia"/>
          <w:i/>
          <w:iCs/>
          <w:szCs w:val="21"/>
          <w:lang w:eastAsia="zh-CN"/>
        </w:rPr>
        <w:t>sl-UE-SelectedConfig</w:t>
      </w:r>
      <w:r w:rsidR="00CF5FD4">
        <w:rPr>
          <w:rFonts w:hint="eastAsia"/>
          <w:szCs w:val="21"/>
          <w:lang w:eastAsia="zh-CN"/>
        </w:rPr>
        <w:t xml:space="preserve"> in 38.331 [4]. </w:t>
      </w:r>
      <w:r w:rsidR="00CF5FD4">
        <w:rPr>
          <w:szCs w:val="21"/>
          <w:lang w:eastAsia="zh-CN"/>
        </w:rPr>
        <w:t>I</w:t>
      </w:r>
      <w:r>
        <w:rPr>
          <w:rFonts w:hint="eastAsia"/>
          <w:szCs w:val="21"/>
          <w:lang w:eastAsia="zh-CN"/>
        </w:rPr>
        <w:t>n the same way serving gNB of the UE can also determine the UE should adopt scheme 1 or scheme 2 for SL-PRS resource allocation.</w:t>
      </w:r>
    </w:p>
    <w:p w14:paraId="50448C70" w14:textId="77777777" w:rsidR="00EA6BF4" w:rsidRDefault="00EA6BF4" w:rsidP="00EA6BF4">
      <w:pPr>
        <w:snapToGrid w:val="0"/>
        <w:spacing w:beforeLines="50" w:before="120" w:afterLines="50" w:after="120"/>
        <w:rPr>
          <w:lang w:eastAsia="zh-CN"/>
        </w:rPr>
      </w:pPr>
      <w:r>
        <w:rPr>
          <w:rFonts w:hint="eastAsia"/>
          <w:szCs w:val="21"/>
          <w:lang w:eastAsia="zh-CN"/>
        </w:rPr>
        <w:t xml:space="preserve">Uu based positioning only supports periodic DL-PRS configuration. For periodic SL-PRS configuration in the original Uu based positioning, since the LMF can not decide the radio resources, the SL-PRS configuration is generated by each </w:t>
      </w:r>
      <w:r>
        <w:rPr>
          <w:rFonts w:hint="eastAsia"/>
          <w:szCs w:val="21"/>
          <w:lang w:eastAsia="zh-CN"/>
        </w:rPr>
        <w:lastRenderedPageBreak/>
        <w:t>TRP in each NG-RAN node, and LMF gathers the SL-PRS configuration of all the TRPs (from all the NG-RAN nodes) via TRP INFORMATION RESPONSE, then LMF distributes the collection to UE. Different TRPs within one NG-RAN node can resolve DL-PRS resource overlapping via muting pattern, different NG-RAN nodes does not need to consider the SL-PRS resource overlapping, because it does not have impact on UE receiving DL-PRS.</w:t>
      </w:r>
    </w:p>
    <w:p w14:paraId="70CC7502" w14:textId="34C538C2" w:rsidR="00EA6BF4" w:rsidRDefault="00EA6BF4" w:rsidP="00EA6BF4">
      <w:pPr>
        <w:snapToGrid w:val="0"/>
        <w:spacing w:beforeLines="50" w:before="120" w:afterLines="50" w:after="120"/>
        <w:rPr>
          <w:szCs w:val="21"/>
          <w:lang w:eastAsia="zh-CN"/>
        </w:rPr>
      </w:pPr>
      <w:r>
        <w:rPr>
          <w:rFonts w:hint="eastAsia"/>
          <w:szCs w:val="21"/>
          <w:lang w:eastAsia="zh-CN"/>
        </w:rPr>
        <w:t>For SL-PRS configuration delivery, there is a FFS in the RAN1</w:t>
      </w:r>
      <w:r>
        <w:rPr>
          <w:szCs w:val="21"/>
          <w:lang w:eastAsia="zh-CN"/>
        </w:rPr>
        <w:t>’</w:t>
      </w:r>
      <w:r>
        <w:rPr>
          <w:rFonts w:hint="eastAsia"/>
          <w:szCs w:val="21"/>
          <w:lang w:eastAsia="zh-CN"/>
        </w:rPr>
        <w:t>s agreement saying that if NW is to allocate SL-PRS configuration to scheme 1 UE, whether the SL-PRS configuration should come from gNB or LMF. RAN1 has also studied whether to support periodic SL-PRS, semi-persistent SL-PRS or aperiodic SL-PRS. From RAN2 point of view, different periodicity may result in different control signaling transfer procedures between UE, gNB and LMF, especially for SL-PRS configuration. To be specific, periodic and semi-persistent SL-PRS configuration contains the real-time radio resource such as slot offset which can not decided by LMF, therefore periodic and semi-persistent SL-PRS configuration can only be configured by gNB; Aperiodic SL-PRS configuration does not contain these kind of parameters, so it is workable for both gNB and LMF to configure and deliver aperiodic SL-PRS configuration to UE. Considering the UE may usually be configured with periodic or aperiodic SL-PRS together, we think a unified design is desired, that is, regardless of periodic/aperiodic/seme-persistent SL-PRS, serving gNB of the UE should configure the SL-PRS configuration to UE.</w:t>
      </w:r>
    </w:p>
    <w:p w14:paraId="0A67E8A1" w14:textId="508F8A86" w:rsidR="00E349CA" w:rsidRPr="0069793A" w:rsidRDefault="0069793A" w:rsidP="00EA6BF4">
      <w:pPr>
        <w:snapToGrid w:val="0"/>
        <w:spacing w:beforeLines="50" w:before="120" w:afterLines="50" w:after="120"/>
        <w:rPr>
          <w:b/>
          <w:szCs w:val="21"/>
          <w:lang w:eastAsia="zh-CN"/>
        </w:rPr>
      </w:pPr>
      <w:r w:rsidRPr="0069793A">
        <w:rPr>
          <w:rFonts w:hint="eastAsia"/>
          <w:b/>
          <w:szCs w:val="21"/>
          <w:lang w:eastAsia="zh-CN"/>
        </w:rPr>
        <w:t>P</w:t>
      </w:r>
      <w:r w:rsidRPr="0069793A">
        <w:rPr>
          <w:b/>
          <w:szCs w:val="21"/>
          <w:lang w:eastAsia="zh-CN"/>
        </w:rPr>
        <w:t xml:space="preserve">roposal </w:t>
      </w:r>
      <w:r w:rsidR="00EC697F">
        <w:rPr>
          <w:b/>
          <w:szCs w:val="21"/>
          <w:lang w:eastAsia="zh-CN"/>
        </w:rPr>
        <w:t xml:space="preserve">1: </w:t>
      </w:r>
      <w:r w:rsidR="00EC697F" w:rsidRPr="00EC697F">
        <w:rPr>
          <w:b/>
          <w:szCs w:val="21"/>
          <w:lang w:eastAsia="zh-CN"/>
        </w:rPr>
        <w:t>Support serving gNB to configure SL-PRS configuration for</w:t>
      </w:r>
      <w:r w:rsidR="005B561A">
        <w:rPr>
          <w:b/>
          <w:szCs w:val="21"/>
          <w:lang w:eastAsia="zh-CN"/>
        </w:rPr>
        <w:t xml:space="preserve"> </w:t>
      </w:r>
      <w:r w:rsidR="00EC697F" w:rsidRPr="00EC697F">
        <w:rPr>
          <w:b/>
          <w:szCs w:val="21"/>
          <w:lang w:eastAsia="zh-CN"/>
        </w:rPr>
        <w:t>scheme 1 UE.</w:t>
      </w:r>
      <w:r w:rsidR="00200CA2">
        <w:rPr>
          <w:b/>
          <w:szCs w:val="21"/>
          <w:lang w:eastAsia="zh-CN"/>
        </w:rPr>
        <w:t xml:space="preserve"> And the potential impacts</w:t>
      </w:r>
      <w:r w:rsidR="00E86B54">
        <w:rPr>
          <w:b/>
          <w:szCs w:val="21"/>
          <w:lang w:eastAsia="zh-CN"/>
        </w:rPr>
        <w:t xml:space="preserve"> of sidelink configuration</w:t>
      </w:r>
      <w:r w:rsidR="00200CA2">
        <w:rPr>
          <w:b/>
          <w:szCs w:val="21"/>
          <w:lang w:eastAsia="zh-CN"/>
        </w:rPr>
        <w:t xml:space="preserve"> on RAN3 specifications should waiting for RAN1/RAN2’s progress.</w:t>
      </w:r>
    </w:p>
    <w:p w14:paraId="3C8652FE" w14:textId="77777777" w:rsidR="0034111C" w:rsidRPr="00A10F7A" w:rsidRDefault="00EE7FA7" w:rsidP="00D03902">
      <w:pPr>
        <w:pStyle w:val="1"/>
        <w:rPr>
          <w:lang w:val="en-US"/>
        </w:rPr>
      </w:pPr>
      <w:r w:rsidRPr="00A10F7A">
        <w:rPr>
          <w:lang w:val="en-US"/>
        </w:rPr>
        <w:t>Conclusion</w:t>
      </w:r>
    </w:p>
    <w:p w14:paraId="724BCBE3" w14:textId="60A312CA"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220FCC94" w14:textId="77777777" w:rsidR="00705024" w:rsidRPr="00BF325A" w:rsidRDefault="00705024" w:rsidP="00705024">
      <w:pPr>
        <w:snapToGrid w:val="0"/>
        <w:spacing w:beforeLines="50" w:before="120" w:afterLines="50" w:after="120"/>
        <w:rPr>
          <w:b/>
          <w:bCs/>
          <w:iCs/>
          <w:lang w:eastAsia="zh-CN"/>
        </w:rPr>
      </w:pPr>
      <w:r w:rsidRPr="00BF325A">
        <w:rPr>
          <w:rFonts w:hint="eastAsia"/>
          <w:b/>
          <w:bCs/>
          <w:iCs/>
          <w:szCs w:val="21"/>
          <w:lang w:eastAsia="zh-CN"/>
        </w:rPr>
        <w:t>Observation 1: For in/partial coverage scenario, in one sidelink positioning session, different UEs (including target UE and anchor UEs) may adopt different scheme.</w:t>
      </w:r>
    </w:p>
    <w:p w14:paraId="211E4A29" w14:textId="1C171834" w:rsidR="00705024" w:rsidRPr="007B1288" w:rsidRDefault="00705024" w:rsidP="007B1288">
      <w:pPr>
        <w:snapToGrid w:val="0"/>
        <w:spacing w:beforeLines="50" w:before="120" w:afterLines="50" w:after="120"/>
        <w:rPr>
          <w:b/>
          <w:szCs w:val="21"/>
          <w:lang w:eastAsia="zh-CN"/>
        </w:rPr>
      </w:pPr>
      <w:r w:rsidRPr="0069793A">
        <w:rPr>
          <w:rFonts w:hint="eastAsia"/>
          <w:b/>
          <w:szCs w:val="21"/>
          <w:lang w:eastAsia="zh-CN"/>
        </w:rPr>
        <w:t>P</w:t>
      </w:r>
      <w:r w:rsidRPr="0069793A">
        <w:rPr>
          <w:b/>
          <w:szCs w:val="21"/>
          <w:lang w:eastAsia="zh-CN"/>
        </w:rPr>
        <w:t xml:space="preserve">roposal </w:t>
      </w:r>
      <w:r>
        <w:rPr>
          <w:b/>
          <w:szCs w:val="21"/>
          <w:lang w:eastAsia="zh-CN"/>
        </w:rPr>
        <w:t xml:space="preserve">1: </w:t>
      </w:r>
      <w:r w:rsidRPr="00EC697F">
        <w:rPr>
          <w:b/>
          <w:szCs w:val="21"/>
          <w:lang w:eastAsia="zh-CN"/>
        </w:rPr>
        <w:t>Support serving gNB to configure SL-PRS configuration for</w:t>
      </w:r>
      <w:r>
        <w:rPr>
          <w:b/>
          <w:szCs w:val="21"/>
          <w:lang w:eastAsia="zh-CN"/>
        </w:rPr>
        <w:t xml:space="preserve"> </w:t>
      </w:r>
      <w:r w:rsidRPr="00EC697F">
        <w:rPr>
          <w:b/>
          <w:szCs w:val="21"/>
          <w:lang w:eastAsia="zh-CN"/>
        </w:rPr>
        <w:t>scheme 1 UE.</w:t>
      </w:r>
      <w:r>
        <w:rPr>
          <w:b/>
          <w:szCs w:val="21"/>
          <w:lang w:eastAsia="zh-CN"/>
        </w:rPr>
        <w:t xml:space="preserve"> And the potential impacts on RAN3 specifications should waiting for RAN1/RAN2’s progress.</w:t>
      </w:r>
    </w:p>
    <w:p w14:paraId="0D146F3B" w14:textId="166079EF" w:rsidR="001412A8" w:rsidRDefault="00254CB6" w:rsidP="0007733F">
      <w:pPr>
        <w:pStyle w:val="1"/>
        <w:numPr>
          <w:ilvl w:val="0"/>
          <w:numId w:val="0"/>
        </w:numPr>
        <w:ind w:left="420" w:hanging="420"/>
        <w:rPr>
          <w:lang w:val="en-US"/>
        </w:rPr>
      </w:pPr>
      <w:r w:rsidRPr="00A10F7A">
        <w:rPr>
          <w:lang w:val="en-US"/>
        </w:rPr>
        <w:t>R</w:t>
      </w:r>
      <w:r w:rsidR="0034111C" w:rsidRPr="00A10F7A">
        <w:rPr>
          <w:lang w:val="en-US"/>
        </w:rPr>
        <w:t>eferences</w:t>
      </w:r>
    </w:p>
    <w:p w14:paraId="0CAD75D2" w14:textId="758DAABD" w:rsidR="00A80105" w:rsidRDefault="00A80105" w:rsidP="00A713BA">
      <w:pPr>
        <w:widowControl w:val="0"/>
        <w:numPr>
          <w:ilvl w:val="0"/>
          <w:numId w:val="43"/>
        </w:numPr>
        <w:overflowPunct/>
        <w:autoSpaceDE/>
        <w:autoSpaceDN/>
        <w:snapToGrid w:val="0"/>
        <w:spacing w:beforeLines="50" w:before="120" w:afterLines="50" w:after="120"/>
        <w:jc w:val="both"/>
        <w:textAlignment w:val="auto"/>
        <w:rPr>
          <w:color w:val="000000"/>
          <w:lang w:eastAsia="zh-CN"/>
        </w:rPr>
      </w:pPr>
      <w:r>
        <w:rPr>
          <w:color w:val="000000"/>
          <w:lang w:eastAsia="zh-CN"/>
        </w:rPr>
        <w:t>RP-213588, Revised SID on Study on expanded and improved NR positioning.</w:t>
      </w:r>
    </w:p>
    <w:p w14:paraId="6CDA5E18" w14:textId="77777777" w:rsidR="00A713BA" w:rsidRDefault="00A713BA" w:rsidP="00A713BA">
      <w:pPr>
        <w:widowControl w:val="0"/>
        <w:numPr>
          <w:ilvl w:val="0"/>
          <w:numId w:val="43"/>
        </w:numPr>
        <w:overflowPunct/>
        <w:autoSpaceDE/>
        <w:autoSpaceDN/>
        <w:snapToGrid w:val="0"/>
        <w:spacing w:beforeLines="50" w:before="120" w:afterLines="50" w:after="120"/>
        <w:jc w:val="both"/>
        <w:textAlignment w:val="auto"/>
        <w:rPr>
          <w:color w:val="000000"/>
          <w:lang w:eastAsia="zh-CN"/>
        </w:rPr>
      </w:pPr>
      <w:r>
        <w:rPr>
          <w:color w:val="000000"/>
          <w:lang w:eastAsia="zh-CN"/>
        </w:rPr>
        <w:t>Report of 3GPP TSG RAN WG</w:t>
      </w:r>
      <w:r>
        <w:rPr>
          <w:rFonts w:hint="eastAsia"/>
          <w:color w:val="000000"/>
          <w:lang w:eastAsia="zh-CN"/>
        </w:rPr>
        <w:t>1</w:t>
      </w:r>
      <w:r>
        <w:rPr>
          <w:color w:val="000000"/>
          <w:lang w:eastAsia="zh-CN"/>
        </w:rPr>
        <w:t xml:space="preserve"> meeting #1</w:t>
      </w:r>
      <w:r>
        <w:rPr>
          <w:rFonts w:hint="eastAsia"/>
          <w:color w:val="000000"/>
          <w:lang w:eastAsia="zh-CN"/>
        </w:rPr>
        <w:t>10</w:t>
      </w:r>
      <w:r>
        <w:rPr>
          <w:color w:val="000000"/>
          <w:lang w:eastAsia="zh-CN"/>
        </w:rPr>
        <w:t xml:space="preserve">, </w:t>
      </w:r>
      <w:r>
        <w:rPr>
          <w:rFonts w:hint="eastAsia"/>
          <w:color w:val="000000"/>
          <w:lang w:eastAsia="zh-CN"/>
        </w:rPr>
        <w:t>Toulouse</w:t>
      </w:r>
      <w:r>
        <w:rPr>
          <w:color w:val="000000"/>
          <w:lang w:eastAsia="zh-CN"/>
        </w:rPr>
        <w:t xml:space="preserve">, </w:t>
      </w:r>
      <w:r>
        <w:rPr>
          <w:rFonts w:hint="eastAsia"/>
          <w:color w:val="000000"/>
          <w:lang w:eastAsia="zh-CN"/>
        </w:rPr>
        <w:t>Aug</w:t>
      </w:r>
      <w:r>
        <w:rPr>
          <w:color w:val="000000"/>
          <w:lang w:eastAsia="zh-CN"/>
        </w:rPr>
        <w:t>, 2022.</w:t>
      </w:r>
    </w:p>
    <w:p w14:paraId="049F4302" w14:textId="77777777" w:rsidR="00A713BA" w:rsidRPr="00A713BA" w:rsidRDefault="00A713BA" w:rsidP="00A713BA"/>
    <w:sectPr w:rsidR="00A713BA" w:rsidRPr="00A713BA" w:rsidSect="005020B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0366E" w14:textId="77777777" w:rsidR="00772FCC" w:rsidRDefault="00772FCC">
      <w:r>
        <w:separator/>
      </w:r>
    </w:p>
  </w:endnote>
  <w:endnote w:type="continuationSeparator" w:id="0">
    <w:p w14:paraId="06E64B4A" w14:textId="77777777" w:rsidR="00772FCC" w:rsidRDefault="00772FCC">
      <w:r>
        <w:continuationSeparator/>
      </w:r>
    </w:p>
  </w:endnote>
  <w:endnote w:type="continuationNotice" w:id="1">
    <w:p w14:paraId="62914192" w14:textId="77777777" w:rsidR="00772FCC" w:rsidRDefault="00772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等线"/>
    <w:panose1 w:val="00000000000000000000"/>
    <w:charset w:val="86"/>
    <w:family w:val="auto"/>
    <w:notTrueType/>
    <w:pitch w:val="default"/>
    <w:sig w:usb0="00000001" w:usb1="080E0000" w:usb2="00000010" w:usb3="00000000" w:csb0="00040000" w:csb1="00000000"/>
  </w:font>
  <w:font w:name="TimesNewRomanPS-ItalicMT">
    <w:altName w:val="Times New Roman"/>
    <w:panose1 w:val="00000000000000000000"/>
    <w:charset w:val="00"/>
    <w:family w:val="roman"/>
    <w:notTrueType/>
    <w:pitch w:val="default"/>
  </w:font>
  <w:font w:name="Yu Mincho">
    <w:altName w:val="Segoe Print"/>
    <w:charset w:val="00"/>
    <w:family w:val="auto"/>
    <w:pitch w:val="default"/>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867B9" w14:textId="77777777" w:rsidR="00611408" w:rsidRDefault="0061140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5CF4">
      <w:rPr>
        <w:rFonts w:ascii="Arial" w:hAnsi="Arial" w:cs="Arial"/>
        <w:b/>
        <w:noProof/>
        <w:sz w:val="18"/>
        <w:szCs w:val="18"/>
      </w:rPr>
      <w:t>1</w:t>
    </w:r>
    <w:r>
      <w:rPr>
        <w:rFonts w:ascii="Arial" w:hAnsi="Arial" w:cs="Arial"/>
        <w:b/>
        <w:sz w:val="18"/>
        <w:szCs w:val="18"/>
      </w:rPr>
      <w:fldChar w:fldCharType="end"/>
    </w:r>
  </w:p>
  <w:p w14:paraId="0DDFE5C6" w14:textId="77777777" w:rsidR="00611408" w:rsidRDefault="0061140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82A28" w14:textId="77777777" w:rsidR="00772FCC" w:rsidRDefault="00772FCC">
      <w:r>
        <w:separator/>
      </w:r>
    </w:p>
  </w:footnote>
  <w:footnote w:type="continuationSeparator" w:id="0">
    <w:p w14:paraId="04A7349B" w14:textId="77777777" w:rsidR="00772FCC" w:rsidRDefault="00772FCC">
      <w:r>
        <w:continuationSeparator/>
      </w:r>
    </w:p>
  </w:footnote>
  <w:footnote w:type="continuationNotice" w:id="1">
    <w:p w14:paraId="2FD88BCA" w14:textId="77777777" w:rsidR="00772FCC" w:rsidRDefault="00772FC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165565A"/>
    <w:multiLevelType w:val="multilevel"/>
    <w:tmpl w:val="B165565A"/>
    <w:lvl w:ilvl="0">
      <w:start w:val="1"/>
      <w:numFmt w:val="decimal"/>
      <w:suff w:val="space"/>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05AF373C"/>
    <w:multiLevelType w:val="hybridMultilevel"/>
    <w:tmpl w:val="4F7E1538"/>
    <w:lvl w:ilvl="0" w:tplc="B302CD2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921D0F"/>
    <w:multiLevelType w:val="hybridMultilevel"/>
    <w:tmpl w:val="C5B2C72A"/>
    <w:lvl w:ilvl="0" w:tplc="D9820F3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302A18"/>
    <w:multiLevelType w:val="hybridMultilevel"/>
    <w:tmpl w:val="1D04869E"/>
    <w:lvl w:ilvl="0" w:tplc="2CA41E3C">
      <w:start w:val="2"/>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69292F"/>
    <w:multiLevelType w:val="hybridMultilevel"/>
    <w:tmpl w:val="37122F4E"/>
    <w:lvl w:ilvl="0" w:tplc="BCFC82A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901125"/>
    <w:multiLevelType w:val="multilevel"/>
    <w:tmpl w:val="BF2EFE3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29CA54FA"/>
    <w:multiLevelType w:val="multilevel"/>
    <w:tmpl w:val="29CA54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6C368A"/>
    <w:multiLevelType w:val="hybridMultilevel"/>
    <w:tmpl w:val="18D28D4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50AFD"/>
    <w:multiLevelType w:val="hybridMultilevel"/>
    <w:tmpl w:val="B84CDF6C"/>
    <w:lvl w:ilvl="0" w:tplc="0B24CA4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D1EA6"/>
    <w:multiLevelType w:val="hybridMultilevel"/>
    <w:tmpl w:val="DA64E1A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23"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4" w15:restartNumberingAfterBreak="0">
    <w:nsid w:val="3A9C3432"/>
    <w:multiLevelType w:val="hybridMultilevel"/>
    <w:tmpl w:val="11B0F5B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A4B51"/>
    <w:multiLevelType w:val="hybridMultilevel"/>
    <w:tmpl w:val="4544BA8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7870E6"/>
    <w:multiLevelType w:val="hybridMultilevel"/>
    <w:tmpl w:val="FF8681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7" w15:restartNumberingAfterBreak="0">
    <w:nsid w:val="53162D2F"/>
    <w:multiLevelType w:val="multilevel"/>
    <w:tmpl w:val="C0EC9136"/>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lang w:val="en-US"/>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CE71AE"/>
    <w:multiLevelType w:val="hybridMultilevel"/>
    <w:tmpl w:val="05A29960"/>
    <w:lvl w:ilvl="0" w:tplc="FF4A880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abstractNum w:abstractNumId="42"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4"/>
  </w:num>
  <w:num w:numId="3">
    <w:abstractNumId w:val="37"/>
  </w:num>
  <w:num w:numId="4">
    <w:abstractNumId w:val="35"/>
  </w:num>
  <w:num w:numId="5">
    <w:abstractNumId w:val="1"/>
  </w:num>
  <w:num w:numId="6">
    <w:abstractNumId w:val="2"/>
  </w:num>
  <w:num w:numId="7">
    <w:abstractNumId w:val="23"/>
  </w:num>
  <w:num w:numId="8">
    <w:abstractNumId w:val="33"/>
  </w:num>
  <w:num w:numId="9">
    <w:abstractNumId w:val="30"/>
  </w:num>
  <w:num w:numId="10">
    <w:abstractNumId w:val="22"/>
  </w:num>
  <w:num w:numId="11">
    <w:abstractNumId w:val="13"/>
  </w:num>
  <w:num w:numId="12">
    <w:abstractNumId w:val="12"/>
  </w:num>
  <w:num w:numId="13">
    <w:abstractNumId w:val="41"/>
  </w:num>
  <w:num w:numId="14">
    <w:abstractNumId w:val="39"/>
  </w:num>
  <w:num w:numId="15">
    <w:abstractNumId w:val="18"/>
  </w:num>
  <w:num w:numId="16">
    <w:abstractNumId w:val="6"/>
  </w:num>
  <w:num w:numId="17">
    <w:abstractNumId w:val="10"/>
  </w:num>
  <w:num w:numId="18">
    <w:abstractNumId w:val="8"/>
  </w:num>
  <w:num w:numId="19">
    <w:abstractNumId w:val="34"/>
  </w:num>
  <w:num w:numId="20">
    <w:abstractNumId w:val="4"/>
  </w:num>
  <w:num w:numId="21">
    <w:abstractNumId w:val="16"/>
  </w:num>
  <w:num w:numId="22">
    <w:abstractNumId w:val="17"/>
  </w:num>
  <w:num w:numId="23">
    <w:abstractNumId w:val="24"/>
  </w:num>
  <w:num w:numId="24">
    <w:abstractNumId w:val="32"/>
  </w:num>
  <w:num w:numId="25">
    <w:abstractNumId w:val="5"/>
  </w:num>
  <w:num w:numId="26">
    <w:abstractNumId w:val="25"/>
  </w:num>
  <w:num w:numId="27">
    <w:abstractNumId w:val="3"/>
  </w:num>
  <w:num w:numId="28">
    <w:abstractNumId w:val="19"/>
  </w:num>
  <w:num w:numId="29">
    <w:abstractNumId w:val="31"/>
  </w:num>
  <w:num w:numId="30">
    <w:abstractNumId w:val="26"/>
  </w:num>
  <w:num w:numId="31">
    <w:abstractNumId w:val="27"/>
  </w:num>
  <w:num w:numId="32">
    <w:abstractNumId w:val="11"/>
  </w:num>
  <w:num w:numId="33">
    <w:abstractNumId w:val="40"/>
  </w:num>
  <w:num w:numId="34">
    <w:abstractNumId w:val="21"/>
  </w:num>
  <w:num w:numId="35">
    <w:abstractNumId w:val="42"/>
  </w:num>
  <w:num w:numId="36">
    <w:abstractNumId w:val="28"/>
  </w:num>
  <w:num w:numId="37">
    <w:abstractNumId w:val="7"/>
  </w:num>
  <w:num w:numId="38">
    <w:abstractNumId w:val="20"/>
  </w:num>
  <w:num w:numId="39">
    <w:abstractNumId w:val="29"/>
  </w:num>
  <w:num w:numId="40">
    <w:abstractNumId w:val="9"/>
  </w:num>
  <w:num w:numId="41">
    <w:abstractNumId w:val="15"/>
  </w:num>
  <w:num w:numId="42">
    <w:abstractNumId w:val="38"/>
  </w:num>
  <w:num w:numId="43">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72"/>
    <w:rsid w:val="0004037D"/>
    <w:rsid w:val="0004047D"/>
    <w:rsid w:val="000405DF"/>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28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33F"/>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017"/>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643"/>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D71"/>
    <w:rsid w:val="000A4EC2"/>
    <w:rsid w:val="000A4EFF"/>
    <w:rsid w:val="000A4F57"/>
    <w:rsid w:val="000A5457"/>
    <w:rsid w:val="000A54ED"/>
    <w:rsid w:val="000A5593"/>
    <w:rsid w:val="000A5658"/>
    <w:rsid w:val="000A578B"/>
    <w:rsid w:val="000A5797"/>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3FC3"/>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4C"/>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27C"/>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73"/>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0E2"/>
    <w:rsid w:val="00166215"/>
    <w:rsid w:val="001663FF"/>
    <w:rsid w:val="0016655F"/>
    <w:rsid w:val="00166562"/>
    <w:rsid w:val="001666A3"/>
    <w:rsid w:val="001667B9"/>
    <w:rsid w:val="001669D5"/>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B7"/>
    <w:rsid w:val="00171AE9"/>
    <w:rsid w:val="00171AF1"/>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BA"/>
    <w:rsid w:val="00185D12"/>
    <w:rsid w:val="00185D7D"/>
    <w:rsid w:val="0018605C"/>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8E"/>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0F9"/>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67"/>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CA2"/>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618"/>
    <w:rsid w:val="00254765"/>
    <w:rsid w:val="00254906"/>
    <w:rsid w:val="00254CB6"/>
    <w:rsid w:val="00254CCF"/>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CB"/>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4A55"/>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6E00"/>
    <w:rsid w:val="002A733C"/>
    <w:rsid w:val="002A73B1"/>
    <w:rsid w:val="002A7466"/>
    <w:rsid w:val="002A75AC"/>
    <w:rsid w:val="002A79E5"/>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A70"/>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F01"/>
    <w:rsid w:val="003214E7"/>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6D6"/>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EEB"/>
    <w:rsid w:val="00342221"/>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376"/>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09"/>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5F29"/>
    <w:rsid w:val="00396162"/>
    <w:rsid w:val="00396207"/>
    <w:rsid w:val="003962A8"/>
    <w:rsid w:val="003965A4"/>
    <w:rsid w:val="00396A09"/>
    <w:rsid w:val="00396C74"/>
    <w:rsid w:val="00396F97"/>
    <w:rsid w:val="00396FFF"/>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CF4"/>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57D"/>
    <w:rsid w:val="003D37AA"/>
    <w:rsid w:val="003D3906"/>
    <w:rsid w:val="003D39C7"/>
    <w:rsid w:val="003D3A04"/>
    <w:rsid w:val="003D3C90"/>
    <w:rsid w:val="003D3D83"/>
    <w:rsid w:val="003D3E95"/>
    <w:rsid w:val="003D402B"/>
    <w:rsid w:val="003D40A8"/>
    <w:rsid w:val="003D4387"/>
    <w:rsid w:val="003D4CBB"/>
    <w:rsid w:val="003D500C"/>
    <w:rsid w:val="003D5024"/>
    <w:rsid w:val="003D5463"/>
    <w:rsid w:val="003D558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CE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2C5"/>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7A6"/>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18F"/>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8DB"/>
    <w:rsid w:val="004A6D42"/>
    <w:rsid w:val="004A6D75"/>
    <w:rsid w:val="004A6E09"/>
    <w:rsid w:val="004A7237"/>
    <w:rsid w:val="004A772B"/>
    <w:rsid w:val="004A7D42"/>
    <w:rsid w:val="004A7E09"/>
    <w:rsid w:val="004A7E7D"/>
    <w:rsid w:val="004B037A"/>
    <w:rsid w:val="004B07D7"/>
    <w:rsid w:val="004B0894"/>
    <w:rsid w:val="004B08D7"/>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1E8"/>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3BE"/>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4C3"/>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BFF"/>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3C70"/>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EE"/>
    <w:rsid w:val="005710EA"/>
    <w:rsid w:val="005711BD"/>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F"/>
    <w:rsid w:val="00573610"/>
    <w:rsid w:val="00573959"/>
    <w:rsid w:val="00573A12"/>
    <w:rsid w:val="00573A5A"/>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2CD"/>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61A"/>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CA7"/>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2"/>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08"/>
    <w:rsid w:val="0061144B"/>
    <w:rsid w:val="00611531"/>
    <w:rsid w:val="00611787"/>
    <w:rsid w:val="006119F1"/>
    <w:rsid w:val="00611C26"/>
    <w:rsid w:val="00611DCC"/>
    <w:rsid w:val="00612194"/>
    <w:rsid w:val="00612314"/>
    <w:rsid w:val="00612439"/>
    <w:rsid w:val="00612588"/>
    <w:rsid w:val="0061258A"/>
    <w:rsid w:val="0061259B"/>
    <w:rsid w:val="00612B60"/>
    <w:rsid w:val="00612E3D"/>
    <w:rsid w:val="00612F3C"/>
    <w:rsid w:val="006130C0"/>
    <w:rsid w:val="00613147"/>
    <w:rsid w:val="006132C6"/>
    <w:rsid w:val="00613425"/>
    <w:rsid w:val="006135A0"/>
    <w:rsid w:val="006135A7"/>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93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10"/>
    <w:rsid w:val="006A1380"/>
    <w:rsid w:val="006A14AD"/>
    <w:rsid w:val="006A1A0B"/>
    <w:rsid w:val="006A1D58"/>
    <w:rsid w:val="006A1E1A"/>
    <w:rsid w:val="006A2136"/>
    <w:rsid w:val="006A21B3"/>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6CB"/>
    <w:rsid w:val="006A5A9B"/>
    <w:rsid w:val="006A5B47"/>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40"/>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24"/>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691"/>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F7C"/>
    <w:rsid w:val="007240DE"/>
    <w:rsid w:val="007244C0"/>
    <w:rsid w:val="0072454F"/>
    <w:rsid w:val="0072467C"/>
    <w:rsid w:val="00724798"/>
    <w:rsid w:val="007247C5"/>
    <w:rsid w:val="007248B3"/>
    <w:rsid w:val="00724943"/>
    <w:rsid w:val="007249A2"/>
    <w:rsid w:val="00724C33"/>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5DC"/>
    <w:rsid w:val="007517A9"/>
    <w:rsid w:val="007518A8"/>
    <w:rsid w:val="007518F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0C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2FCC"/>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8"/>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1FF8"/>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59"/>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38"/>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99"/>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3F"/>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25"/>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81F"/>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E3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AF"/>
    <w:rsid w:val="00891DCE"/>
    <w:rsid w:val="00891DD4"/>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6B00"/>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39"/>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982"/>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A3D"/>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49D"/>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C91"/>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A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2EF7"/>
    <w:rsid w:val="009930A2"/>
    <w:rsid w:val="0099327E"/>
    <w:rsid w:val="0099332C"/>
    <w:rsid w:val="0099353A"/>
    <w:rsid w:val="00993DE8"/>
    <w:rsid w:val="00993E51"/>
    <w:rsid w:val="00993FB6"/>
    <w:rsid w:val="0099404A"/>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DEF"/>
    <w:rsid w:val="009B3FCA"/>
    <w:rsid w:val="009B40DC"/>
    <w:rsid w:val="009B412C"/>
    <w:rsid w:val="009B41B8"/>
    <w:rsid w:val="009B43F6"/>
    <w:rsid w:val="009B4757"/>
    <w:rsid w:val="009B478C"/>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971"/>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CF9"/>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C97"/>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66"/>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3BA"/>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05"/>
    <w:rsid w:val="00A80160"/>
    <w:rsid w:val="00A80330"/>
    <w:rsid w:val="00A8050E"/>
    <w:rsid w:val="00A80736"/>
    <w:rsid w:val="00A8079E"/>
    <w:rsid w:val="00A80820"/>
    <w:rsid w:val="00A80A73"/>
    <w:rsid w:val="00A80BC6"/>
    <w:rsid w:val="00A80C07"/>
    <w:rsid w:val="00A80C96"/>
    <w:rsid w:val="00A80CFD"/>
    <w:rsid w:val="00A80F52"/>
    <w:rsid w:val="00A81163"/>
    <w:rsid w:val="00A81598"/>
    <w:rsid w:val="00A81999"/>
    <w:rsid w:val="00A81B4A"/>
    <w:rsid w:val="00A81C56"/>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B6B"/>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99"/>
    <w:rsid w:val="00AA601E"/>
    <w:rsid w:val="00AA6026"/>
    <w:rsid w:val="00AA62A3"/>
    <w:rsid w:val="00AA64F2"/>
    <w:rsid w:val="00AA6882"/>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7B"/>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A07"/>
    <w:rsid w:val="00B05A5B"/>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54A"/>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487"/>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FDC"/>
    <w:rsid w:val="00B5711C"/>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BC"/>
    <w:rsid w:val="00B83F6D"/>
    <w:rsid w:val="00B8432E"/>
    <w:rsid w:val="00B845C2"/>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083"/>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1A"/>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4F3"/>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8A"/>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6036"/>
    <w:rsid w:val="00BD6047"/>
    <w:rsid w:val="00BD6103"/>
    <w:rsid w:val="00BD630C"/>
    <w:rsid w:val="00BD65C4"/>
    <w:rsid w:val="00BD678B"/>
    <w:rsid w:val="00BD679B"/>
    <w:rsid w:val="00BD68BE"/>
    <w:rsid w:val="00BD68BF"/>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EA8"/>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25A"/>
    <w:rsid w:val="00BF337C"/>
    <w:rsid w:val="00BF33FD"/>
    <w:rsid w:val="00BF3611"/>
    <w:rsid w:val="00BF368B"/>
    <w:rsid w:val="00BF386F"/>
    <w:rsid w:val="00BF3940"/>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E8D"/>
    <w:rsid w:val="00BF6EFA"/>
    <w:rsid w:val="00BF708C"/>
    <w:rsid w:val="00BF7148"/>
    <w:rsid w:val="00BF7576"/>
    <w:rsid w:val="00BF762A"/>
    <w:rsid w:val="00BF76CC"/>
    <w:rsid w:val="00BF7CFD"/>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925"/>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75C"/>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562"/>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40F"/>
    <w:rsid w:val="00C934B3"/>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411"/>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A51"/>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E7E33"/>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5FD4"/>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28F"/>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0FF"/>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0F7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B9D"/>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82"/>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0C6E"/>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992"/>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CA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E0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109"/>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123"/>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959"/>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D0B"/>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E8F"/>
    <w:rsid w:val="00E32F2B"/>
    <w:rsid w:val="00E32F54"/>
    <w:rsid w:val="00E3303A"/>
    <w:rsid w:val="00E3317B"/>
    <w:rsid w:val="00E332C5"/>
    <w:rsid w:val="00E33B68"/>
    <w:rsid w:val="00E33BD1"/>
    <w:rsid w:val="00E33E35"/>
    <w:rsid w:val="00E3450A"/>
    <w:rsid w:val="00E345A4"/>
    <w:rsid w:val="00E349CA"/>
    <w:rsid w:val="00E349F7"/>
    <w:rsid w:val="00E34AB8"/>
    <w:rsid w:val="00E353D4"/>
    <w:rsid w:val="00E360D0"/>
    <w:rsid w:val="00E3622C"/>
    <w:rsid w:val="00E36263"/>
    <w:rsid w:val="00E3631F"/>
    <w:rsid w:val="00E36386"/>
    <w:rsid w:val="00E364D4"/>
    <w:rsid w:val="00E36858"/>
    <w:rsid w:val="00E36899"/>
    <w:rsid w:val="00E3697B"/>
    <w:rsid w:val="00E36B09"/>
    <w:rsid w:val="00E36D2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1F22"/>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4AE3"/>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5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0F2B"/>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BF4"/>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7F"/>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35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28"/>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875"/>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C1"/>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117"/>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5"/>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347"/>
    <w:rsid w:val="00FF5498"/>
    <w:rsid w:val="00FF562B"/>
    <w:rsid w:val="00FF56AC"/>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
    <w:basedOn w:val="1"/>
    <w:next w:val="3"/>
    <w:link w:val="2Char"/>
    <w:qFormat/>
    <w:rsid w:val="00935A21"/>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723F7C"/>
    <w:pPr>
      <w:numPr>
        <w:ilvl w:val="2"/>
      </w:numPr>
      <w:spacing w:before="120"/>
      <w:outlineLvl w:val="2"/>
    </w:pPr>
    <w:rPr>
      <w:sz w:val="28"/>
    </w:rPr>
  </w:style>
  <w:style w:type="paragraph" w:styleId="4">
    <w:name w:val="heading 4"/>
    <w:basedOn w:val="3"/>
    <w:next w:val="a"/>
    <w:link w:val="4Char"/>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semiHidden/>
    <w:rsid w:val="00723F7C"/>
    <w:pPr>
      <w:spacing w:before="180"/>
      <w:ind w:left="2693" w:hanging="2693"/>
    </w:pPr>
    <w:rPr>
      <w:b/>
    </w:rPr>
  </w:style>
  <w:style w:type="paragraph" w:styleId="10">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723F7C"/>
    <w:pPr>
      <w:ind w:left="1701" w:hanging="1701"/>
    </w:pPr>
  </w:style>
  <w:style w:type="paragraph" w:styleId="40">
    <w:name w:val="toc 4"/>
    <w:basedOn w:val="30"/>
    <w:semiHidden/>
    <w:rsid w:val="00723F7C"/>
    <w:pPr>
      <w:ind w:left="1418" w:hanging="1418"/>
    </w:pPr>
  </w:style>
  <w:style w:type="paragraph" w:styleId="30">
    <w:name w:val="toc 3"/>
    <w:basedOn w:val="20"/>
    <w:semiHidden/>
    <w:rsid w:val="00723F7C"/>
    <w:pPr>
      <w:ind w:left="1134" w:hanging="1134"/>
    </w:pPr>
  </w:style>
  <w:style w:type="paragraph" w:styleId="20">
    <w:name w:val="toc 2"/>
    <w:basedOn w:val="10"/>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723F7C"/>
    <w:rPr>
      <w:b/>
      <w:position w:val="6"/>
      <w:sz w:val="16"/>
    </w:rPr>
  </w:style>
  <w:style w:type="paragraph" w:styleId="a7">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8"/>
    <w:rsid w:val="00723F7C"/>
    <w:pPr>
      <w:ind w:left="851"/>
    </w:pPr>
  </w:style>
  <w:style w:type="paragraph" w:styleId="a8">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2"/>
    <w:rsid w:val="00723F7C"/>
  </w:style>
  <w:style w:type="paragraph" w:styleId="a9">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semiHidden/>
    <w:rsid w:val="00723F7C"/>
    <w:rPr>
      <w:sz w:val="16"/>
    </w:rPr>
  </w:style>
  <w:style w:type="paragraph" w:styleId="ab">
    <w:name w:val="annotation text"/>
    <w:basedOn w:val="a"/>
    <w:semiHidden/>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0"/>
    <w:uiPriority w:val="35"/>
    <w:qFormat/>
    <w:rsid w:val="00723F7C"/>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1">
    <w:name w:val="Body Text"/>
    <w:basedOn w:val="a"/>
    <w:link w:val="Char1"/>
    <w:rsid w:val="000F7DFD"/>
    <w:pPr>
      <w:spacing w:after="120"/>
    </w:pPr>
    <w:rPr>
      <w:lang w:val="en-GB"/>
    </w:rPr>
  </w:style>
  <w:style w:type="character" w:customStyle="1" w:styleId="Char1">
    <w:name w:val="正文文本 Char"/>
    <w:link w:val="af1"/>
    <w:rsid w:val="000F7DFD"/>
    <w:rPr>
      <w:rFonts w:ascii="Times New Roman" w:hAnsi="Times New Roman"/>
      <w:lang w:val="en-GB"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5">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2"/>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8">
    <w:name w:val="Subtitle"/>
    <w:basedOn w:val="a"/>
    <w:next w:val="a"/>
    <w:link w:val="Char3"/>
    <w:qFormat/>
    <w:rsid w:val="00111E70"/>
    <w:pPr>
      <w:spacing w:after="60"/>
      <w:jc w:val="center"/>
      <w:outlineLvl w:val="1"/>
    </w:pPr>
    <w:rPr>
      <w:rFonts w:ascii="Calibri Light" w:hAnsi="Calibri Light"/>
      <w:sz w:val="24"/>
      <w:szCs w:val="24"/>
    </w:rPr>
  </w:style>
  <w:style w:type="character" w:customStyle="1" w:styleId="Char3">
    <w:name w:val="副标题 Char"/>
    <w:link w:val="af8"/>
    <w:rsid w:val="00111E70"/>
    <w:rPr>
      <w:rFonts w:ascii="Calibri Light" w:hAnsi="Calibri Light"/>
      <w:sz w:val="24"/>
      <w:szCs w:val="24"/>
      <w:lang w:eastAsia="en-US"/>
    </w:rPr>
  </w:style>
  <w:style w:type="paragraph" w:customStyle="1" w:styleId="N4">
    <w:name w:val="N4"/>
    <w:basedOn w:val="a"/>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af1"/>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a1"/>
    <w:rsid w:val="00C9254D"/>
    <w:rPr>
      <w:rFonts w:ascii="TimesNewRomanPSMT" w:hAnsi="TimesNewRomanPSMT" w:hint="default"/>
      <w:b w:val="0"/>
      <w:bCs w:val="0"/>
      <w:i w:val="0"/>
      <w:iCs w:val="0"/>
      <w:color w:val="000000"/>
      <w:sz w:val="20"/>
      <w:szCs w:val="20"/>
    </w:rPr>
  </w:style>
  <w:style w:type="character" w:customStyle="1" w:styleId="fontstyle21">
    <w:name w:val="fontstyle21"/>
    <w:basedOn w:val="a1"/>
    <w:rsid w:val="00C9254D"/>
    <w:rPr>
      <w:rFonts w:ascii="TimesNewRomanPS-ItalicMT" w:hAnsi="TimesNewRomanPS-ItalicMT" w:hint="default"/>
      <w:b w:val="0"/>
      <w:bCs w:val="0"/>
      <w:i/>
      <w:iCs/>
      <w:color w:val="000000"/>
      <w:sz w:val="20"/>
      <w:szCs w:val="20"/>
    </w:rPr>
  </w:style>
  <w:style w:type="character" w:customStyle="1" w:styleId="fontstyle31">
    <w:name w:val="fontstyle31"/>
    <w:basedOn w:val="a1"/>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a1"/>
    <w:rsid w:val="00C9254D"/>
    <w:rPr>
      <w:rFonts w:ascii="Arial-BoldMT" w:hAnsi="Arial-BoldMT" w:hint="default"/>
      <w:b/>
      <w:bCs/>
      <w:i w:val="0"/>
      <w:iCs w:val="0"/>
      <w:color w:val="000000"/>
      <w:sz w:val="18"/>
      <w:szCs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1FF8"/>
    <w:pPr>
      <w:widowControl w:val="0"/>
      <w:overflowPunct/>
      <w:autoSpaceDE/>
      <w:autoSpaceDN/>
      <w:adjustRightInd/>
      <w:spacing w:after="0"/>
      <w:jc w:val="both"/>
      <w:textAlignment w:val="auto"/>
    </w:pPr>
    <w:rPr>
      <w:kern w:val="2"/>
      <w:sz w:val="21"/>
      <w:szCs w:val="24"/>
      <w:lang w:eastAsia="zh-CN"/>
    </w:rPr>
  </w:style>
  <w:style w:type="paragraph" w:customStyle="1" w:styleId="Proposal">
    <w:name w:val="Proposal"/>
    <w:basedOn w:val="a"/>
    <w:qFormat/>
    <w:rsid w:val="00D57982"/>
    <w:pPr>
      <w:tabs>
        <w:tab w:val="left" w:pos="1701"/>
      </w:tabs>
      <w:spacing w:after="120" w:line="259" w:lineRule="auto"/>
      <w:ind w:left="1701" w:hanging="1701"/>
      <w:jc w:val="both"/>
    </w:pPr>
    <w:rPr>
      <w:rFonts w:ascii="Arial" w:eastAsia="Times New Roman"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3C9DFF36-51CD-47A3-A620-FF938CE36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1200</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ZTE</cp:lastModifiedBy>
  <cp:revision>2</cp:revision>
  <cp:lastPrinted>2004-04-16T16:17:00Z</cp:lastPrinted>
  <dcterms:created xsi:type="dcterms:W3CDTF">2022-09-28T06:43:00Z</dcterms:created>
  <dcterms:modified xsi:type="dcterms:W3CDTF">2022-09-28T06:43:00Z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